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3D16E2" w14:textId="3E1D3F4B" w:rsidR="00A15507" w:rsidRPr="00A15507" w:rsidRDefault="00A15507" w:rsidP="00A15507">
      <w:pPr>
        <w:spacing w:after="240"/>
        <w:rPr>
          <w:rFonts w:ascii="Helvetica Neue" w:hAnsi="Helvetica Neue"/>
          <w:color w:val="111111"/>
        </w:rPr>
      </w:pPr>
      <w:r>
        <w:rPr>
          <w:rFonts w:ascii="Helvetica Neue" w:hAnsi="Helvetica Neue"/>
          <w:color w:val="111111"/>
        </w:rPr>
        <w:t>D</w:t>
      </w:r>
      <w:r w:rsidRPr="00A15507">
        <w:rPr>
          <w:rFonts w:ascii="Helvetica Neue" w:hAnsi="Helvetica Neue"/>
          <w:color w:val="111111"/>
        </w:rPr>
        <w:t>iscussion, read the case study found in your textbook (Case 19): Google Is Now Alphabet—But What’s the Corporate Strategy? Remember, a case study is a puzzle to be solved, so before reading and answering the specific case and study questions, develop your proposed solution by following these five steps:</w:t>
      </w:r>
    </w:p>
    <w:p w14:paraId="59A394F9" w14:textId="77777777" w:rsidR="00A15507" w:rsidRPr="00A15507" w:rsidRDefault="00A15507" w:rsidP="00A15507">
      <w:pPr>
        <w:numPr>
          <w:ilvl w:val="0"/>
          <w:numId w:val="1"/>
        </w:numPr>
        <w:ind w:left="0"/>
        <w:rPr>
          <w:rFonts w:ascii="inherit" w:hAnsi="inherit"/>
          <w:color w:val="111111"/>
          <w:sz w:val="20"/>
          <w:szCs w:val="20"/>
        </w:rPr>
      </w:pPr>
      <w:r w:rsidRPr="00A15507">
        <w:rPr>
          <w:rFonts w:ascii="inherit" w:hAnsi="inherit"/>
          <w:color w:val="111111"/>
          <w:sz w:val="20"/>
          <w:szCs w:val="20"/>
        </w:rPr>
        <w:t>Read the case study to identify the key issues and underlying issues. These issues are the principles and concepts of the course area which apply to the situation described in the case study. </w:t>
      </w:r>
    </w:p>
    <w:p w14:paraId="7396E920" w14:textId="77777777" w:rsidR="00A15507" w:rsidRPr="00A15507" w:rsidRDefault="00A15507" w:rsidP="00A15507">
      <w:pPr>
        <w:numPr>
          <w:ilvl w:val="0"/>
          <w:numId w:val="1"/>
        </w:numPr>
        <w:ind w:left="0"/>
        <w:rPr>
          <w:rFonts w:ascii="inherit" w:hAnsi="inherit"/>
          <w:color w:val="111111"/>
          <w:sz w:val="20"/>
          <w:szCs w:val="20"/>
        </w:rPr>
      </w:pPr>
      <w:r w:rsidRPr="00A15507">
        <w:rPr>
          <w:rFonts w:ascii="inherit" w:hAnsi="inherit"/>
          <w:color w:val="111111"/>
          <w:sz w:val="20"/>
          <w:szCs w:val="20"/>
        </w:rPr>
        <w:t>Record the facts from the case study which are relevant to the principles and concepts of the course area issues. The case may have extraneous information not relevant to the current course area. Your ability to differentiate between relevant and irrelevant information is an important aspect of case analysis, as it will inform the focus of your answers. </w:t>
      </w:r>
    </w:p>
    <w:p w14:paraId="7F7A6B34" w14:textId="77777777" w:rsidR="00A15507" w:rsidRPr="00A15507" w:rsidRDefault="00A15507" w:rsidP="00A15507">
      <w:pPr>
        <w:numPr>
          <w:ilvl w:val="0"/>
          <w:numId w:val="1"/>
        </w:numPr>
        <w:ind w:left="0"/>
        <w:rPr>
          <w:rFonts w:ascii="inherit" w:hAnsi="inherit"/>
          <w:color w:val="111111"/>
          <w:sz w:val="20"/>
          <w:szCs w:val="20"/>
        </w:rPr>
      </w:pPr>
      <w:r w:rsidRPr="00A15507">
        <w:rPr>
          <w:rFonts w:ascii="inherit" w:hAnsi="inherit"/>
          <w:color w:val="111111"/>
          <w:sz w:val="20"/>
          <w:szCs w:val="20"/>
        </w:rPr>
        <w:t>Describe in some detail the actions that would address or correct the situation. </w:t>
      </w:r>
    </w:p>
    <w:p w14:paraId="166FB064" w14:textId="77777777" w:rsidR="00A15507" w:rsidRPr="00A15507" w:rsidRDefault="00A15507" w:rsidP="00A15507">
      <w:pPr>
        <w:numPr>
          <w:ilvl w:val="0"/>
          <w:numId w:val="1"/>
        </w:numPr>
        <w:ind w:left="0"/>
        <w:rPr>
          <w:rFonts w:ascii="inherit" w:hAnsi="inherit"/>
          <w:color w:val="111111"/>
          <w:sz w:val="20"/>
          <w:szCs w:val="20"/>
        </w:rPr>
      </w:pPr>
      <w:r w:rsidRPr="00A15507">
        <w:rPr>
          <w:rFonts w:ascii="inherit" w:hAnsi="inherit"/>
          <w:color w:val="111111"/>
          <w:sz w:val="20"/>
          <w:szCs w:val="20"/>
        </w:rPr>
        <w:t>Consider how you would support your solution with examples from experience or current real-life examples or cases from textbooks. </w:t>
      </w:r>
    </w:p>
    <w:p w14:paraId="55CEA19A" w14:textId="77777777" w:rsidR="00A15507" w:rsidRPr="00A15507" w:rsidRDefault="00A15507" w:rsidP="00A15507">
      <w:pPr>
        <w:numPr>
          <w:ilvl w:val="0"/>
          <w:numId w:val="1"/>
        </w:numPr>
        <w:ind w:left="0"/>
        <w:rPr>
          <w:rFonts w:ascii="inherit" w:hAnsi="inherit"/>
          <w:color w:val="111111"/>
          <w:sz w:val="20"/>
          <w:szCs w:val="20"/>
        </w:rPr>
      </w:pPr>
      <w:r w:rsidRPr="00A15507">
        <w:rPr>
          <w:rFonts w:ascii="inherit" w:hAnsi="inherit"/>
          <w:color w:val="111111"/>
          <w:sz w:val="20"/>
          <w:szCs w:val="20"/>
        </w:rPr>
        <w:t>Complete this initial analysis and then read the discussion questions. Typically, you will already have the answers to the questions but with a broader consideration. At this point, you can add the details and/or analytical tools required to solve the case.</w:t>
      </w:r>
    </w:p>
    <w:p w14:paraId="731A7067" w14:textId="77777777" w:rsidR="00A15507" w:rsidRPr="00A15507" w:rsidRDefault="00A15507" w:rsidP="00A15507">
      <w:pPr>
        <w:spacing w:after="240"/>
        <w:rPr>
          <w:rFonts w:ascii="Helvetica Neue" w:hAnsi="Helvetica Neue"/>
          <w:color w:val="111111"/>
        </w:rPr>
      </w:pPr>
      <w:r w:rsidRPr="00A15507">
        <w:rPr>
          <w:rFonts w:ascii="Helvetica Neue" w:hAnsi="Helvetica Neue"/>
          <w:color w:val="111111"/>
        </w:rPr>
        <w:t>Case Study Questions: </w:t>
      </w:r>
    </w:p>
    <w:p w14:paraId="585708FE" w14:textId="77777777" w:rsidR="00A15507" w:rsidRPr="00A15507" w:rsidRDefault="00A15507" w:rsidP="00A15507">
      <w:pPr>
        <w:numPr>
          <w:ilvl w:val="0"/>
          <w:numId w:val="2"/>
        </w:numPr>
        <w:ind w:left="0"/>
        <w:rPr>
          <w:rFonts w:ascii="inherit" w:hAnsi="inherit"/>
          <w:color w:val="111111"/>
          <w:sz w:val="20"/>
          <w:szCs w:val="20"/>
        </w:rPr>
      </w:pPr>
      <w:r w:rsidRPr="00A15507">
        <w:rPr>
          <w:rFonts w:ascii="inherit" w:hAnsi="inherit"/>
          <w:color w:val="111111"/>
          <w:sz w:val="20"/>
          <w:szCs w:val="20"/>
        </w:rPr>
        <w:t>What is Google’s corporate strategy? Does Google have a clear vision of what it wants to become? </w:t>
      </w:r>
    </w:p>
    <w:p w14:paraId="1E00CF91" w14:textId="77777777" w:rsidR="00A15507" w:rsidRPr="00A15507" w:rsidRDefault="00A15507" w:rsidP="00A15507">
      <w:pPr>
        <w:numPr>
          <w:ilvl w:val="0"/>
          <w:numId w:val="2"/>
        </w:numPr>
        <w:ind w:left="0"/>
        <w:rPr>
          <w:rFonts w:ascii="inherit" w:hAnsi="inherit"/>
          <w:color w:val="111111"/>
          <w:sz w:val="20"/>
          <w:szCs w:val="20"/>
        </w:rPr>
      </w:pPr>
      <w:r w:rsidRPr="00A15507">
        <w:rPr>
          <w:rFonts w:ascii="inherit" w:hAnsi="inherit"/>
          <w:color w:val="111111"/>
          <w:sz w:val="20"/>
          <w:szCs w:val="20"/>
        </w:rPr>
        <w:t>Use Porter’s </w:t>
      </w:r>
      <w:r w:rsidRPr="00A15507">
        <w:rPr>
          <w:rFonts w:ascii="inherit" w:hAnsi="inherit"/>
          <w:i/>
          <w:iCs/>
          <w:color w:val="111111"/>
          <w:sz w:val="20"/>
          <w:szCs w:val="20"/>
          <w:bdr w:val="none" w:sz="0" w:space="0" w:color="auto" w:frame="1"/>
        </w:rPr>
        <w:t>Essentials Test</w:t>
      </w:r>
      <w:r w:rsidRPr="00A15507">
        <w:rPr>
          <w:rFonts w:ascii="inherit" w:hAnsi="inherit"/>
          <w:color w:val="111111"/>
          <w:sz w:val="20"/>
          <w:szCs w:val="20"/>
        </w:rPr>
        <w:t> (Chapter 12) to determine if this strategy creates competitive advantage. If so, how? If not, why not? </w:t>
      </w:r>
    </w:p>
    <w:p w14:paraId="2027B89B" w14:textId="77777777" w:rsidR="00A15507" w:rsidRPr="00A15507" w:rsidRDefault="00A15507" w:rsidP="00A15507">
      <w:pPr>
        <w:numPr>
          <w:ilvl w:val="0"/>
          <w:numId w:val="2"/>
        </w:numPr>
        <w:ind w:left="0"/>
        <w:rPr>
          <w:rFonts w:ascii="inherit" w:hAnsi="inherit"/>
          <w:color w:val="111111"/>
          <w:sz w:val="20"/>
          <w:szCs w:val="20"/>
        </w:rPr>
      </w:pPr>
      <w:r w:rsidRPr="00A15507">
        <w:rPr>
          <w:rFonts w:ascii="inherit" w:hAnsi="inherit"/>
          <w:color w:val="111111"/>
          <w:sz w:val="20"/>
          <w:szCs w:val="20"/>
        </w:rPr>
        <w:t>Look beyond the conventional sources of synergy and consider complementarities, bargaining power, and rivals. What threats does Google face? </w:t>
      </w:r>
    </w:p>
    <w:p w14:paraId="2EE1DE5D" w14:textId="0311F478" w:rsidR="00A15507" w:rsidRDefault="00A15507" w:rsidP="00A15507">
      <w:pPr>
        <w:numPr>
          <w:ilvl w:val="0"/>
          <w:numId w:val="2"/>
        </w:numPr>
        <w:ind w:left="0"/>
        <w:rPr>
          <w:rFonts w:ascii="inherit" w:hAnsi="inherit"/>
          <w:color w:val="111111"/>
          <w:sz w:val="20"/>
          <w:szCs w:val="20"/>
        </w:rPr>
      </w:pPr>
      <w:r w:rsidRPr="00A15507">
        <w:rPr>
          <w:rFonts w:ascii="inherit" w:hAnsi="inherit"/>
          <w:color w:val="111111"/>
          <w:sz w:val="20"/>
          <w:szCs w:val="20"/>
        </w:rPr>
        <w:t xml:space="preserve">Does Google need to refocus? How should Google delineate its corporate boundaries and which </w:t>
      </w:r>
      <w:proofErr w:type="gramStart"/>
      <w:r w:rsidRPr="00A15507">
        <w:rPr>
          <w:rFonts w:ascii="inherit" w:hAnsi="inherit"/>
          <w:color w:val="111111"/>
          <w:sz w:val="20"/>
          <w:szCs w:val="20"/>
        </w:rPr>
        <w:t>businesses</w:t>
      </w:r>
      <w:proofErr w:type="gramEnd"/>
      <w:r w:rsidRPr="00A15507">
        <w:rPr>
          <w:rFonts w:ascii="inherit" w:hAnsi="inherit"/>
          <w:color w:val="111111"/>
          <w:sz w:val="20"/>
          <w:szCs w:val="20"/>
        </w:rPr>
        <w:t xml:space="preserve"> or products would you recommend abandoning or divesting, if any?</w:t>
      </w:r>
    </w:p>
    <w:p w14:paraId="62DC595D" w14:textId="77777777" w:rsidR="00A15507" w:rsidRPr="00A15507" w:rsidRDefault="00A15507" w:rsidP="00A15507">
      <w:pPr>
        <w:rPr>
          <w:rFonts w:ascii="inherit" w:hAnsi="inherit"/>
          <w:color w:val="111111"/>
          <w:sz w:val="20"/>
          <w:szCs w:val="20"/>
        </w:rPr>
      </w:pPr>
    </w:p>
    <w:p w14:paraId="6EA4370E" w14:textId="526C9CC7" w:rsidR="00A15507" w:rsidRPr="00A15507" w:rsidRDefault="00A15507" w:rsidP="00A15507">
      <w:pPr>
        <w:pStyle w:val="ListParagraph"/>
        <w:numPr>
          <w:ilvl w:val="0"/>
          <w:numId w:val="3"/>
        </w:numPr>
        <w:rPr>
          <w:rFonts w:asciiTheme="majorBidi" w:hAnsiTheme="majorBidi" w:cstheme="majorBidi"/>
          <w:color w:val="111111"/>
        </w:rPr>
      </w:pPr>
      <w:r w:rsidRPr="00A15507">
        <w:rPr>
          <w:rFonts w:asciiTheme="majorBidi" w:hAnsiTheme="majorBidi" w:cstheme="majorBidi"/>
          <w:i/>
          <w:iCs/>
          <w:color w:val="111111"/>
          <w:bdr w:val="none" w:sz="0" w:space="0" w:color="auto" w:frame="1"/>
        </w:rPr>
        <w:t>at least one scholarly, peer-reviewed journal article</w:t>
      </w:r>
      <w:r w:rsidRPr="00A15507">
        <w:rPr>
          <w:rFonts w:asciiTheme="majorBidi" w:hAnsiTheme="majorBidi" w:cstheme="majorBidi"/>
          <w:color w:val="111111"/>
        </w:rPr>
        <w:t>.</w:t>
      </w:r>
    </w:p>
    <w:p w14:paraId="0293AB0E" w14:textId="77777777" w:rsidR="00A15507" w:rsidRPr="00A15507" w:rsidRDefault="00A15507" w:rsidP="00A15507">
      <w:pPr>
        <w:pStyle w:val="ListParagraph"/>
        <w:numPr>
          <w:ilvl w:val="0"/>
          <w:numId w:val="3"/>
        </w:numPr>
        <w:spacing w:after="240"/>
        <w:rPr>
          <w:rFonts w:asciiTheme="majorBidi" w:hAnsiTheme="majorBidi" w:cstheme="majorBidi"/>
          <w:color w:val="111111"/>
        </w:rPr>
      </w:pPr>
      <w:r w:rsidRPr="00A15507">
        <w:rPr>
          <w:rFonts w:asciiTheme="majorBidi" w:hAnsiTheme="majorBidi" w:cstheme="majorBidi"/>
          <w:color w:val="111111"/>
        </w:rPr>
        <w:t>Use APA style guidelines. </w:t>
      </w:r>
    </w:p>
    <w:p w14:paraId="1AEE721E" w14:textId="147F7877" w:rsidR="00A15507" w:rsidRPr="00A15507" w:rsidRDefault="00A15507" w:rsidP="00A15507">
      <w:pPr>
        <w:pStyle w:val="ListParagraph"/>
        <w:numPr>
          <w:ilvl w:val="0"/>
          <w:numId w:val="3"/>
        </w:numPr>
        <w:spacing w:after="240"/>
        <w:rPr>
          <w:rFonts w:asciiTheme="majorBidi" w:hAnsiTheme="majorBidi" w:cstheme="majorBidi"/>
          <w:color w:val="111111"/>
        </w:rPr>
      </w:pPr>
      <w:r w:rsidRPr="00A15507">
        <w:rPr>
          <w:rFonts w:asciiTheme="majorBidi" w:hAnsiTheme="majorBidi" w:cstheme="majorBidi"/>
          <w:color w:val="111111"/>
        </w:rPr>
        <w:t>3</w:t>
      </w:r>
      <w:r>
        <w:rPr>
          <w:rFonts w:asciiTheme="majorBidi" w:hAnsiTheme="majorBidi" w:cstheme="majorBidi"/>
          <w:color w:val="111111"/>
        </w:rPr>
        <w:t>-4</w:t>
      </w:r>
      <w:r w:rsidRPr="00A15507">
        <w:rPr>
          <w:rFonts w:asciiTheme="majorBidi" w:hAnsiTheme="majorBidi" w:cstheme="majorBidi"/>
          <w:color w:val="111111"/>
        </w:rPr>
        <w:t xml:space="preserve"> references </w:t>
      </w:r>
    </w:p>
    <w:p w14:paraId="433CB681" w14:textId="3E254A9D" w:rsidR="00A15507" w:rsidRPr="00A15507" w:rsidRDefault="00A15507" w:rsidP="00A15507">
      <w:pPr>
        <w:pStyle w:val="ListParagraph"/>
        <w:numPr>
          <w:ilvl w:val="0"/>
          <w:numId w:val="3"/>
        </w:numPr>
        <w:spacing w:after="240"/>
        <w:rPr>
          <w:rFonts w:asciiTheme="majorBidi" w:hAnsiTheme="majorBidi" w:cstheme="majorBidi"/>
          <w:color w:val="111111"/>
        </w:rPr>
      </w:pPr>
      <w:r w:rsidRPr="00A15507">
        <w:rPr>
          <w:rFonts w:asciiTheme="majorBidi" w:hAnsiTheme="majorBidi" w:cstheme="majorBidi"/>
          <w:color w:val="111111"/>
        </w:rPr>
        <w:t>Question as headings</w:t>
      </w:r>
    </w:p>
    <w:p w14:paraId="37AC4F77" w14:textId="793D2CFE" w:rsidR="00A15507" w:rsidRDefault="00A15507" w:rsidP="00A15507">
      <w:pPr>
        <w:pStyle w:val="ListParagraph"/>
        <w:numPr>
          <w:ilvl w:val="0"/>
          <w:numId w:val="3"/>
        </w:numPr>
        <w:spacing w:after="240"/>
        <w:rPr>
          <w:rFonts w:asciiTheme="majorBidi" w:hAnsiTheme="majorBidi" w:cstheme="majorBidi"/>
          <w:color w:val="111111"/>
        </w:rPr>
      </w:pPr>
      <w:r w:rsidRPr="00A15507">
        <w:rPr>
          <w:rFonts w:asciiTheme="majorBidi" w:hAnsiTheme="majorBidi" w:cstheme="majorBidi"/>
          <w:color w:val="111111"/>
        </w:rPr>
        <w:t>1-2 page</w:t>
      </w:r>
      <w:r>
        <w:rPr>
          <w:rFonts w:asciiTheme="majorBidi" w:hAnsiTheme="majorBidi" w:cstheme="majorBidi"/>
          <w:color w:val="111111"/>
        </w:rPr>
        <w:t>s</w:t>
      </w:r>
      <w:r w:rsidRPr="00A15507">
        <w:rPr>
          <w:rFonts w:asciiTheme="majorBidi" w:hAnsiTheme="majorBidi" w:cstheme="majorBidi"/>
          <w:color w:val="111111"/>
        </w:rPr>
        <w:t xml:space="preserve"> </w:t>
      </w:r>
      <w:r w:rsidRPr="00A15507">
        <w:rPr>
          <w:rFonts w:asciiTheme="majorBidi" w:hAnsiTheme="majorBidi" w:cstheme="majorBidi"/>
          <w:color w:val="111111"/>
        </w:rPr>
        <w:t>Discussion</w:t>
      </w:r>
    </w:p>
    <w:p w14:paraId="6565ACCC" w14:textId="77777777" w:rsidR="00A15507" w:rsidRDefault="00A15507" w:rsidP="00A15507">
      <w:pPr>
        <w:pStyle w:val="NormalWeb"/>
        <w:rPr>
          <w:rFonts w:ascii="Lucida Grande" w:hAnsi="Lucida Grande" w:cs="Lucida Grande"/>
          <w:color w:val="333333"/>
        </w:rPr>
      </w:pPr>
      <w:r>
        <w:rPr>
          <w:rStyle w:val="Strong"/>
          <w:rFonts w:ascii="Lucida Grande" w:hAnsi="Lucida Grande" w:cs="Lucida Grande"/>
          <w:color w:val="333333"/>
        </w:rPr>
        <w:t>Required</w:t>
      </w:r>
    </w:p>
    <w:p w14:paraId="08A30B05" w14:textId="77777777" w:rsidR="00A15507" w:rsidRDefault="00A15507" w:rsidP="00A15507">
      <w:pPr>
        <w:numPr>
          <w:ilvl w:val="0"/>
          <w:numId w:val="4"/>
        </w:numPr>
        <w:spacing w:before="100" w:beforeAutospacing="1" w:after="100" w:afterAutospacing="1"/>
        <w:rPr>
          <w:rFonts w:ascii="Lucida Grande" w:hAnsi="Lucida Grande" w:cs="Lucida Grande"/>
          <w:color w:val="333333"/>
        </w:rPr>
      </w:pPr>
      <w:r>
        <w:rPr>
          <w:rFonts w:ascii="Lucida Grande" w:hAnsi="Lucida Grande" w:cs="Lucida Grande"/>
          <w:color w:val="333333"/>
        </w:rPr>
        <w:t>Chapter 11 in</w:t>
      </w:r>
      <w:r>
        <w:rPr>
          <w:rStyle w:val="apple-converted-space"/>
          <w:rFonts w:ascii="Lucida Grande" w:hAnsi="Lucida Grande" w:cs="Lucida Grande"/>
          <w:color w:val="333333"/>
        </w:rPr>
        <w:t> </w:t>
      </w:r>
      <w:r>
        <w:rPr>
          <w:rStyle w:val="Emphasis"/>
          <w:rFonts w:ascii="Lucida Grande" w:hAnsi="Lucida Grande" w:cs="Lucida Grande"/>
          <w:color w:val="333333"/>
        </w:rPr>
        <w:t>Contemporary Strategy Analysis</w:t>
      </w:r>
    </w:p>
    <w:p w14:paraId="4901A67F" w14:textId="77777777" w:rsidR="00A15507" w:rsidRDefault="00A15507" w:rsidP="00A15507">
      <w:pPr>
        <w:numPr>
          <w:ilvl w:val="0"/>
          <w:numId w:val="4"/>
        </w:numPr>
        <w:spacing w:before="100" w:beforeAutospacing="1" w:after="100" w:afterAutospacing="1"/>
        <w:rPr>
          <w:rFonts w:ascii="Lucida Grande" w:hAnsi="Lucida Grande" w:cs="Lucida Grande"/>
          <w:color w:val="333333"/>
        </w:rPr>
      </w:pPr>
      <w:r>
        <w:rPr>
          <w:rFonts w:ascii="Lucida Grande" w:hAnsi="Lucida Grande" w:cs="Lucida Grande"/>
          <w:color w:val="333333"/>
        </w:rPr>
        <w:t xml:space="preserve">Carolina </w:t>
      </w:r>
      <w:proofErr w:type="spellStart"/>
      <w:r>
        <w:rPr>
          <w:rFonts w:ascii="Lucida Grande" w:hAnsi="Lucida Grande" w:cs="Lucida Grande"/>
          <w:color w:val="333333"/>
        </w:rPr>
        <w:t>Zonta</w:t>
      </w:r>
      <w:proofErr w:type="spellEnd"/>
      <w:r>
        <w:rPr>
          <w:rFonts w:ascii="Lucida Grande" w:hAnsi="Lucida Grande" w:cs="Lucida Grande"/>
          <w:color w:val="333333"/>
        </w:rPr>
        <w:t>, T., &amp; Amal, M. (2018).</w:t>
      </w:r>
      <w:r>
        <w:rPr>
          <w:rStyle w:val="apple-converted-space"/>
          <w:rFonts w:ascii="Lucida Grande" w:hAnsi="Lucida Grande" w:cs="Lucida Grande"/>
          <w:color w:val="333333"/>
        </w:rPr>
        <w:t> </w:t>
      </w:r>
      <w:hyperlink r:id="rId5" w:tgtFrame="_blank" w:history="1">
        <w:r>
          <w:rPr>
            <w:rStyle w:val="Hyperlink"/>
            <w:rFonts w:ascii="Lucida Grande" w:hAnsi="Lucida Grande" w:cs="Lucida Grande"/>
            <w:b/>
            <w:bCs/>
            <w:color w:val="70A1E6"/>
          </w:rPr>
          <w:t>Internationalization and innovation: The case of a born global from Brazil</w:t>
        </w:r>
      </w:hyperlink>
      <w:r>
        <w:rPr>
          <w:rFonts w:ascii="Lucida Grande" w:hAnsi="Lucida Grande" w:cs="Lucida Grande"/>
          <w:color w:val="333333"/>
        </w:rPr>
        <w:t>.</w:t>
      </w:r>
      <w:r>
        <w:rPr>
          <w:rStyle w:val="apple-converted-space"/>
          <w:rFonts w:ascii="Lucida Grande" w:hAnsi="Lucida Grande" w:cs="Lucida Grande"/>
          <w:color w:val="333333"/>
        </w:rPr>
        <w:t> </w:t>
      </w:r>
      <w:proofErr w:type="spellStart"/>
      <w:r>
        <w:rPr>
          <w:rStyle w:val="Emphasis"/>
          <w:rFonts w:ascii="Lucida Grande" w:hAnsi="Lucida Grande" w:cs="Lucida Grande"/>
          <w:color w:val="333333"/>
        </w:rPr>
        <w:t>Internext</w:t>
      </w:r>
      <w:proofErr w:type="spellEnd"/>
      <w:r>
        <w:rPr>
          <w:rStyle w:val="Emphasis"/>
          <w:rFonts w:ascii="Lucida Grande" w:hAnsi="Lucida Grande" w:cs="Lucida Grande"/>
          <w:color w:val="333333"/>
        </w:rPr>
        <w:t xml:space="preserve">: </w:t>
      </w:r>
      <w:proofErr w:type="spellStart"/>
      <w:r>
        <w:rPr>
          <w:rStyle w:val="Emphasis"/>
          <w:rFonts w:ascii="Lucida Grande" w:hAnsi="Lucida Grande" w:cs="Lucida Grande"/>
          <w:color w:val="333333"/>
        </w:rPr>
        <w:t>Revista</w:t>
      </w:r>
      <w:proofErr w:type="spellEnd"/>
      <w:r>
        <w:rPr>
          <w:rStyle w:val="Emphasis"/>
          <w:rFonts w:ascii="Lucida Grande" w:hAnsi="Lucida Grande" w:cs="Lucida Grande"/>
          <w:color w:val="333333"/>
        </w:rPr>
        <w:t xml:space="preserve"> </w:t>
      </w:r>
      <w:proofErr w:type="spellStart"/>
      <w:r>
        <w:rPr>
          <w:rStyle w:val="Emphasis"/>
          <w:rFonts w:ascii="Lucida Grande" w:hAnsi="Lucida Grande" w:cs="Lucida Grande"/>
          <w:color w:val="333333"/>
        </w:rPr>
        <w:t>Electrônica</w:t>
      </w:r>
      <w:proofErr w:type="spellEnd"/>
      <w:r>
        <w:rPr>
          <w:rStyle w:val="Emphasis"/>
          <w:rFonts w:ascii="Lucida Grande" w:hAnsi="Lucida Grande" w:cs="Lucida Grande"/>
          <w:color w:val="333333"/>
        </w:rPr>
        <w:t xml:space="preserve"> de </w:t>
      </w:r>
      <w:proofErr w:type="spellStart"/>
      <w:r>
        <w:rPr>
          <w:rStyle w:val="Emphasis"/>
          <w:rFonts w:ascii="Lucida Grande" w:hAnsi="Lucida Grande" w:cs="Lucida Grande"/>
          <w:color w:val="333333"/>
        </w:rPr>
        <w:t>Negócios</w:t>
      </w:r>
      <w:proofErr w:type="spellEnd"/>
      <w:r>
        <w:rPr>
          <w:rStyle w:val="Emphasis"/>
          <w:rFonts w:ascii="Lucida Grande" w:hAnsi="Lucida Grande" w:cs="Lucida Grande"/>
          <w:color w:val="333333"/>
        </w:rPr>
        <w:t xml:space="preserve"> </w:t>
      </w:r>
      <w:proofErr w:type="spellStart"/>
      <w:r>
        <w:rPr>
          <w:rStyle w:val="Emphasis"/>
          <w:rFonts w:ascii="Lucida Grande" w:hAnsi="Lucida Grande" w:cs="Lucida Grande"/>
          <w:color w:val="333333"/>
        </w:rPr>
        <w:t>Internacionais</w:t>
      </w:r>
      <w:proofErr w:type="spellEnd"/>
      <w:r>
        <w:rPr>
          <w:rStyle w:val="Emphasis"/>
          <w:rFonts w:ascii="Lucida Grande" w:hAnsi="Lucida Grande" w:cs="Lucida Grande"/>
          <w:color w:val="333333"/>
        </w:rPr>
        <w:t xml:space="preserve"> Da ESPM, 13</w:t>
      </w:r>
      <w:r>
        <w:rPr>
          <w:rFonts w:ascii="Lucida Grande" w:hAnsi="Lucida Grande" w:cs="Lucida Grande"/>
          <w:color w:val="333333"/>
        </w:rPr>
        <w:t>(1), 63–76.</w:t>
      </w:r>
    </w:p>
    <w:p w14:paraId="42872118" w14:textId="77777777" w:rsidR="00A15507" w:rsidRDefault="00A15507" w:rsidP="00A15507">
      <w:pPr>
        <w:numPr>
          <w:ilvl w:val="0"/>
          <w:numId w:val="4"/>
        </w:numPr>
        <w:spacing w:before="100" w:beforeAutospacing="1" w:after="100" w:afterAutospacing="1"/>
        <w:rPr>
          <w:rFonts w:ascii="Lucida Grande" w:hAnsi="Lucida Grande" w:cs="Lucida Grande"/>
          <w:color w:val="333333"/>
        </w:rPr>
      </w:pPr>
      <w:r>
        <w:rPr>
          <w:rFonts w:ascii="Lucida Grande" w:hAnsi="Lucida Grande" w:cs="Lucida Grande"/>
          <w:color w:val="333333"/>
        </w:rPr>
        <w:t xml:space="preserve">Chetty, S., </w:t>
      </w:r>
      <w:proofErr w:type="spellStart"/>
      <w:r>
        <w:rPr>
          <w:rFonts w:ascii="Lucida Grande" w:hAnsi="Lucida Grande" w:cs="Lucida Grande"/>
          <w:color w:val="333333"/>
        </w:rPr>
        <w:t>Karami</w:t>
      </w:r>
      <w:proofErr w:type="spellEnd"/>
      <w:r>
        <w:rPr>
          <w:rFonts w:ascii="Lucida Grande" w:hAnsi="Lucida Grande" w:cs="Lucida Grande"/>
          <w:color w:val="333333"/>
        </w:rPr>
        <w:t xml:space="preserve">, M., &amp; Martín </w:t>
      </w:r>
      <w:proofErr w:type="spellStart"/>
      <w:r>
        <w:rPr>
          <w:rFonts w:ascii="Lucida Grande" w:hAnsi="Lucida Grande" w:cs="Lucida Grande"/>
          <w:color w:val="333333"/>
        </w:rPr>
        <w:t>Martín</w:t>
      </w:r>
      <w:proofErr w:type="spellEnd"/>
      <w:r>
        <w:rPr>
          <w:rFonts w:ascii="Lucida Grande" w:hAnsi="Lucida Grande" w:cs="Lucida Grande"/>
          <w:color w:val="333333"/>
        </w:rPr>
        <w:t>, O. (2018).</w:t>
      </w:r>
      <w:r>
        <w:rPr>
          <w:rStyle w:val="apple-converted-space"/>
          <w:rFonts w:ascii="Lucida Grande" w:hAnsi="Lucida Grande" w:cs="Lucida Grande"/>
          <w:color w:val="333333"/>
        </w:rPr>
        <w:t> </w:t>
      </w:r>
      <w:hyperlink r:id="rId6" w:tgtFrame="_blank" w:history="1">
        <w:r>
          <w:rPr>
            <w:rStyle w:val="Hyperlink"/>
            <w:rFonts w:ascii="Lucida Grande" w:hAnsi="Lucida Grande" w:cs="Lucida Grande"/>
            <w:b/>
            <w:bCs/>
            <w:color w:val="70A1E6"/>
          </w:rPr>
          <w:t>Opportunity discovery and creation as a duality: Evidence from small firms’ foreign market entries</w:t>
        </w:r>
      </w:hyperlink>
      <w:r>
        <w:rPr>
          <w:rFonts w:ascii="Lucida Grande" w:hAnsi="Lucida Grande" w:cs="Lucida Grande"/>
          <w:color w:val="333333"/>
        </w:rPr>
        <w:t>. </w:t>
      </w:r>
      <w:r>
        <w:rPr>
          <w:rStyle w:val="Emphasis"/>
          <w:rFonts w:ascii="Lucida Grande" w:hAnsi="Lucida Grande" w:cs="Lucida Grande"/>
          <w:color w:val="333333"/>
        </w:rPr>
        <w:t>Journal of International Marketing</w:t>
      </w:r>
      <w:r>
        <w:rPr>
          <w:rFonts w:ascii="Lucida Grande" w:hAnsi="Lucida Grande" w:cs="Lucida Grande"/>
          <w:color w:val="333333"/>
        </w:rPr>
        <w:t>, </w:t>
      </w:r>
      <w:r>
        <w:rPr>
          <w:rStyle w:val="Emphasis"/>
          <w:rFonts w:ascii="Lucida Grande" w:hAnsi="Lucida Grande" w:cs="Lucida Grande"/>
          <w:color w:val="333333"/>
        </w:rPr>
        <w:t>26</w:t>
      </w:r>
      <w:r>
        <w:rPr>
          <w:rFonts w:ascii="Lucida Grande" w:hAnsi="Lucida Grande" w:cs="Lucida Grande"/>
          <w:color w:val="333333"/>
        </w:rPr>
        <w:t>(3), 70–93.</w:t>
      </w:r>
    </w:p>
    <w:p w14:paraId="21E5DF14" w14:textId="1CD56B6E" w:rsidR="00A15507" w:rsidRPr="00A15507" w:rsidRDefault="00A15507" w:rsidP="00A15507">
      <w:pPr>
        <w:numPr>
          <w:ilvl w:val="0"/>
          <w:numId w:val="4"/>
        </w:numPr>
        <w:spacing w:before="100" w:beforeAutospacing="1" w:after="100" w:afterAutospacing="1"/>
        <w:rPr>
          <w:rFonts w:ascii="Lucida Grande" w:hAnsi="Lucida Grande" w:cs="Lucida Grande"/>
          <w:color w:val="333333"/>
        </w:rPr>
      </w:pPr>
      <w:bookmarkStart w:id="0" w:name="_GoBack"/>
      <w:bookmarkEnd w:id="0"/>
      <w:r w:rsidRPr="00A15507">
        <w:rPr>
          <w:rFonts w:ascii="Lucida Grande" w:hAnsi="Lucida Grande" w:cs="Lucida Grande"/>
          <w:color w:val="333333"/>
        </w:rPr>
        <w:t xml:space="preserve">Balaton, K., &amp; </w:t>
      </w:r>
      <w:proofErr w:type="spellStart"/>
      <w:r w:rsidRPr="00A15507">
        <w:rPr>
          <w:rFonts w:ascii="Lucida Grande" w:hAnsi="Lucida Grande" w:cs="Lucida Grande"/>
          <w:color w:val="333333"/>
        </w:rPr>
        <w:t>Varga</w:t>
      </w:r>
      <w:proofErr w:type="spellEnd"/>
      <w:r w:rsidRPr="00A15507">
        <w:rPr>
          <w:rFonts w:ascii="Lucida Grande" w:hAnsi="Lucida Grande" w:cs="Lucida Grande"/>
          <w:color w:val="333333"/>
        </w:rPr>
        <w:t>, K. (2017).</w:t>
      </w:r>
      <w:r w:rsidRPr="00A15507">
        <w:rPr>
          <w:rStyle w:val="apple-converted-space"/>
          <w:rFonts w:ascii="Lucida Grande" w:hAnsi="Lucida Grande" w:cs="Lucida Grande"/>
          <w:color w:val="333333"/>
        </w:rPr>
        <w:t> </w:t>
      </w:r>
      <w:hyperlink r:id="rId7" w:tgtFrame="_blank" w:history="1">
        <w:r w:rsidRPr="00A15507">
          <w:rPr>
            <w:rStyle w:val="Hyperlink"/>
            <w:rFonts w:ascii="Lucida Grande" w:hAnsi="Lucida Grande" w:cs="Lucida Grande"/>
            <w:b/>
            <w:bCs/>
            <w:color w:val="70A1E6"/>
          </w:rPr>
          <w:t>Social innovation and competitiveness: A literature review of the theoretical work in the field</w:t>
        </w:r>
      </w:hyperlink>
      <w:r w:rsidRPr="00A15507">
        <w:rPr>
          <w:rFonts w:ascii="Lucida Grande" w:hAnsi="Lucida Grande" w:cs="Lucida Grande"/>
          <w:color w:val="333333"/>
        </w:rPr>
        <w:t>.</w:t>
      </w:r>
      <w:r w:rsidRPr="00A15507">
        <w:rPr>
          <w:rStyle w:val="apple-converted-space"/>
          <w:rFonts w:ascii="Lucida Grande" w:hAnsi="Lucida Grande" w:cs="Lucida Grande"/>
          <w:color w:val="333333"/>
        </w:rPr>
        <w:t> </w:t>
      </w:r>
      <w:r w:rsidRPr="00A15507">
        <w:rPr>
          <w:rStyle w:val="Emphasis"/>
          <w:rFonts w:ascii="Lucida Grande" w:hAnsi="Lucida Grande" w:cs="Lucida Grande"/>
          <w:color w:val="333333"/>
        </w:rPr>
        <w:t>Review of Economic Studies and Research, 10</w:t>
      </w:r>
      <w:r w:rsidRPr="00A15507">
        <w:rPr>
          <w:rFonts w:ascii="Lucida Grande" w:hAnsi="Lucida Grande" w:cs="Lucida Grande"/>
          <w:color w:val="333333"/>
        </w:rPr>
        <w:t>(2), 27–42.</w:t>
      </w:r>
    </w:p>
    <w:p w14:paraId="3AF3FC38" w14:textId="1CAEC569" w:rsidR="00A15507" w:rsidRPr="00A15507" w:rsidRDefault="00A15507" w:rsidP="00A15507">
      <w:pPr>
        <w:spacing w:after="240"/>
        <w:rPr>
          <w:rFonts w:asciiTheme="majorBidi" w:hAnsiTheme="majorBidi" w:cstheme="majorBidi"/>
          <w:color w:val="111111"/>
        </w:rPr>
      </w:pPr>
    </w:p>
    <w:p w14:paraId="33B3FA1A" w14:textId="77777777" w:rsidR="00A15507" w:rsidRDefault="00A15507"/>
    <w:sectPr w:rsidR="00A15507" w:rsidSect="00ED07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inherit">
    <w:altName w:val="Cambria"/>
    <w:panose1 w:val="020B0604020202020204"/>
    <w:charset w:val="00"/>
    <w:family w:val="roman"/>
    <w:pitch w:val="default"/>
  </w:font>
  <w:font w:name="Lucida Grande">
    <w:panose1 w:val="020B0600040502020204"/>
    <w:charset w:val="00"/>
    <w:family w:val="swiss"/>
    <w:pitch w:val="variable"/>
    <w:sig w:usb0="E1000AEF" w:usb1="5000A1FF" w:usb2="00000000" w:usb3="00000000" w:csb0="000001B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593AB6"/>
    <w:multiLevelType w:val="multilevel"/>
    <w:tmpl w:val="1B8652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F366FD4"/>
    <w:multiLevelType w:val="multilevel"/>
    <w:tmpl w:val="C324E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E344052"/>
    <w:multiLevelType w:val="multilevel"/>
    <w:tmpl w:val="B8DEB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4AF47DA"/>
    <w:multiLevelType w:val="multilevel"/>
    <w:tmpl w:val="63F633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6706EB4"/>
    <w:multiLevelType w:val="hybridMultilevel"/>
    <w:tmpl w:val="9B7C5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5507"/>
    <w:rsid w:val="00A15507"/>
    <w:rsid w:val="00ED072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6A710ECD"/>
  <w15:chartTrackingRefBased/>
  <w15:docId w15:val="{CBFD15B9-944E-E446-B3C8-799D56A14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5507"/>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15507"/>
    <w:pPr>
      <w:spacing w:before="100" w:beforeAutospacing="1" w:after="100" w:afterAutospacing="1"/>
    </w:pPr>
  </w:style>
  <w:style w:type="character" w:customStyle="1" w:styleId="apple-converted-space">
    <w:name w:val="apple-converted-space"/>
    <w:basedOn w:val="DefaultParagraphFont"/>
    <w:rsid w:val="00A15507"/>
  </w:style>
  <w:style w:type="character" w:styleId="Emphasis">
    <w:name w:val="Emphasis"/>
    <w:basedOn w:val="DefaultParagraphFont"/>
    <w:uiPriority w:val="20"/>
    <w:qFormat/>
    <w:rsid w:val="00A15507"/>
    <w:rPr>
      <w:i/>
      <w:iCs/>
    </w:rPr>
  </w:style>
  <w:style w:type="paragraph" w:styleId="ListParagraph">
    <w:name w:val="List Paragraph"/>
    <w:basedOn w:val="Normal"/>
    <w:uiPriority w:val="34"/>
    <w:qFormat/>
    <w:rsid w:val="00A15507"/>
    <w:pPr>
      <w:ind w:left="720"/>
      <w:contextualSpacing/>
    </w:pPr>
  </w:style>
  <w:style w:type="character" w:styleId="Strong">
    <w:name w:val="Strong"/>
    <w:basedOn w:val="DefaultParagraphFont"/>
    <w:uiPriority w:val="22"/>
    <w:qFormat/>
    <w:rsid w:val="00A15507"/>
    <w:rPr>
      <w:b/>
      <w:bCs/>
    </w:rPr>
  </w:style>
  <w:style w:type="character" w:styleId="Hyperlink">
    <w:name w:val="Hyperlink"/>
    <w:basedOn w:val="DefaultParagraphFont"/>
    <w:uiPriority w:val="99"/>
    <w:semiHidden/>
    <w:unhideWhenUsed/>
    <w:rsid w:val="00A1550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6711101">
      <w:bodyDiv w:val="1"/>
      <w:marLeft w:val="0"/>
      <w:marRight w:val="0"/>
      <w:marTop w:val="0"/>
      <w:marBottom w:val="0"/>
      <w:divBdr>
        <w:top w:val="none" w:sz="0" w:space="0" w:color="auto"/>
        <w:left w:val="none" w:sz="0" w:space="0" w:color="auto"/>
        <w:bottom w:val="none" w:sz="0" w:space="0" w:color="auto"/>
        <w:right w:val="none" w:sz="0" w:space="0" w:color="auto"/>
      </w:divBdr>
    </w:div>
    <w:div w:id="1731688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earch-proquest-com.sdl.idm.oclc.org/docview/1976415987?accountid=14290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eds.b.ebscohost.com.sdl.idm.oclc.org/eds/pdfviewer/pdfviewer?vid=2&amp;sid=f33c6de1-8459-46a6-be9d-afcd63c74fbe%40sessionmgr102" TargetMode="External"/><Relationship Id="rId5" Type="http://schemas.openxmlformats.org/officeDocument/2006/relationships/hyperlink" Target="http://internext.espm.br/internext/article/view/416/pdf"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451</Words>
  <Characters>2572</Characters>
  <Application>Microsoft Office Word</Application>
  <DocSecurity>0</DocSecurity>
  <Lines>21</Lines>
  <Paragraphs>6</Paragraphs>
  <ScaleCrop>false</ScaleCrop>
  <Company/>
  <LinksUpToDate>false</LinksUpToDate>
  <CharactersWithSpaces>3017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arwa binzomah</dc:creator>
  <cp:keywords/>
  <dc:description/>
  <cp:lastModifiedBy>arwa binzomah</cp:lastModifiedBy>
  <cp:revision>1</cp:revision>
  <dcterms:created xsi:type="dcterms:W3CDTF">2019-10-31T15:23:00Z</dcterms:created>
  <dcterms:modified xsi:type="dcterms:W3CDTF">2019-10-31T15:30:00Z</dcterms:modified>
</cp:coreProperties>
</file>